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60" w:hanging="0"/>
        <w:jc w:val="right"/>
        <w:rPr>
          <w:rFonts w:ascii="ＭＳ ゴシック" w:hAnsi="ＭＳ ゴシック" w:eastAsia="ＭＳ ゴシック"/>
          <w:sz w:val="26"/>
          <w:szCs w:val="26"/>
        </w:rPr>
      </w:pPr>
      <w:r>
        <w:rPr>
          <w:rFonts w:eastAsia="ＭＳ ゴシック" w:ascii="ＭＳ ゴシック" w:hAnsi="ＭＳ ゴシック"/>
          <w:sz w:val="26"/>
          <w:szCs w:val="26"/>
        </w:rPr>
      </w:r>
      <w:bookmarkStart w:id="0" w:name="_GoBack"/>
      <w:bookmarkStart w:id="1" w:name="_GoBack"/>
      <w:bookmarkEnd w:id="1"/>
    </w:p>
    <w:p>
      <w:pPr>
        <w:pStyle w:val="Normal"/>
        <w:jc w:val="center"/>
        <w:rPr>
          <w:rFonts w:ascii="ＭＳ ゴシック" w:hAnsi="ＭＳ ゴシック" w:eastAsia="ＭＳ ゴシック"/>
          <w:b/>
          <w:b/>
          <w:sz w:val="36"/>
          <w:szCs w:val="36"/>
          <w:shd w:fill="FFFFFF" w:val="clear"/>
        </w:rPr>
      </w:pPr>
      <w:r>
        <w:rPr>
          <w:rFonts w:ascii="ＭＳ ゴシック" w:hAnsi="ＭＳ ゴシック" w:eastAsia="ＭＳ ゴシック"/>
          <w:b/>
          <w:sz w:val="36"/>
          <w:szCs w:val="36"/>
          <w:shd w:fill="FFFFFF" w:val="clear"/>
        </w:rPr>
        <w:t>避難確保計画チェックリスト</w:t>
      </w:r>
    </w:p>
    <w:tbl>
      <w:tblPr>
        <w:tblStyle w:val="a9"/>
        <w:tblpPr w:vertAnchor="text" w:horzAnchor="margin" w:tblpXSpec="right" w:leftFromText="142" w:rightFromText="142" w:tblpY="104"/>
        <w:tblW w:w="5230"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551"/>
        <w:gridCol w:w="2678"/>
      </w:tblGrid>
      <w:tr>
        <w:trPr>
          <w:trHeight w:val="615" w:hRule="atLeast"/>
        </w:trPr>
        <w:tc>
          <w:tcPr>
            <w:tcW w:w="2551" w:type="dxa"/>
            <w:tcBorders>
              <w:top w:val="single" w:sz="12" w:space="0" w:color="000000"/>
              <w:left w:val="single" w:sz="12" w:space="0" w:color="000000"/>
              <w:bottom w:val="single" w:sz="6" w:space="0" w:color="000000"/>
              <w:right w:val="single" w:sz="6" w:space="0" w:color="000000"/>
            </w:tcBorders>
            <w:shd w:color="auto" w:fill="F2F2F2" w:themeFill="background1" w:themeFillShade="f2" w:val="clear"/>
            <w:vAlign w:val="center"/>
          </w:tcPr>
          <w:p>
            <w:pPr>
              <w:pStyle w:val="Normal"/>
              <w:widowControl w:val="false"/>
              <w:spacing w:lineRule="exact" w:line="300" w:before="0" w:after="0"/>
              <w:rPr>
                <w:rFonts w:ascii="ＭＳ ゴシック" w:hAnsi="ＭＳ ゴシック" w:eastAsia="ＭＳ ゴシック"/>
                <w:b/>
                <w:b/>
                <w:sz w:val="26"/>
                <w:szCs w:val="26"/>
              </w:rPr>
            </w:pPr>
            <w:r>
              <w:rPr>
                <w:rFonts w:ascii="ＭＳ ゴシック" w:hAnsi="ＭＳ ゴシック" w:cs="" w:eastAsia="ＭＳ ゴシック"/>
                <w:b/>
                <w:kern w:val="2"/>
                <w:sz w:val="26"/>
                <w:szCs w:val="26"/>
                <w:lang w:val="en-US" w:eastAsia="ja-JP" w:bidi="ar-SA"/>
              </w:rPr>
              <w:t>医療施設</w:t>
            </w:r>
          </w:p>
          <w:p>
            <w:pPr>
              <w:pStyle w:val="Normal"/>
              <w:widowControl w:val="false"/>
              <w:spacing w:lineRule="exact" w:line="300" w:before="0" w:after="0"/>
              <w:rPr>
                <w:rFonts w:ascii="ＭＳ ゴシック" w:hAnsi="ＭＳ ゴシック" w:eastAsia="ＭＳ ゴシック"/>
                <w:sz w:val="26"/>
                <w:szCs w:val="26"/>
              </w:rPr>
            </w:pPr>
            <w:r>
              <w:rPr>
                <w:rFonts w:ascii="ＭＳ ゴシック" w:hAnsi="ＭＳ ゴシック" w:cs="" w:eastAsia="ＭＳ ゴシック"/>
                <w:kern w:val="2"/>
                <w:sz w:val="26"/>
                <w:szCs w:val="26"/>
                <w:lang w:val="en-US" w:eastAsia="ja-JP" w:bidi="ar-SA"/>
              </w:rPr>
              <w:t>チェック担当者名</w:t>
            </w:r>
          </w:p>
        </w:tc>
        <w:tc>
          <w:tcPr>
            <w:tcW w:w="2678" w:type="dxa"/>
            <w:tcBorders>
              <w:top w:val="single" w:sz="12" w:space="0" w:color="000000"/>
              <w:left w:val="single" w:sz="6" w:space="0" w:color="000000"/>
              <w:bottom w:val="single" w:sz="6" w:space="0" w:color="000000"/>
              <w:right w:val="single" w:sz="12" w:space="0" w:color="000000"/>
            </w:tcBorders>
            <w:shd w:color="auto" w:fill="F2F2F2" w:themeFill="background1" w:themeFillShade="f2" w:val="clear"/>
          </w:tcPr>
          <w:p>
            <w:pPr>
              <w:pStyle w:val="Normal"/>
              <w:widowControl w:val="false"/>
              <w:spacing w:lineRule="exact" w:line="300" w:before="0" w:after="0"/>
              <w:rPr>
                <w:rFonts w:ascii="ＭＳ ゴシック" w:hAnsi="ＭＳ ゴシック" w:eastAsia="ＭＳ ゴシック"/>
                <w:b/>
                <w:b/>
                <w:sz w:val="26"/>
                <w:szCs w:val="26"/>
              </w:rPr>
            </w:pPr>
            <w:r>
              <w:rPr>
                <w:rFonts w:ascii="ＭＳ ゴシック" w:hAnsi="ＭＳ ゴシック" w:cs="" w:eastAsia="ＭＳ ゴシック"/>
                <w:b/>
                <w:kern w:val="2"/>
                <w:sz w:val="26"/>
                <w:szCs w:val="26"/>
                <w:lang w:val="en-US" w:eastAsia="ja-JP" w:bidi="ar-SA"/>
              </w:rPr>
              <w:t>市町村</w:t>
            </w:r>
          </w:p>
          <w:p>
            <w:pPr>
              <w:pStyle w:val="Normal"/>
              <w:widowControl w:val="false"/>
              <w:spacing w:lineRule="exact" w:line="300" w:before="0" w:after="0"/>
              <w:rPr>
                <w:rFonts w:ascii="ＭＳ ゴシック" w:hAnsi="ＭＳ ゴシック" w:eastAsia="ＭＳ ゴシック"/>
                <w:sz w:val="26"/>
                <w:szCs w:val="26"/>
              </w:rPr>
            </w:pPr>
            <w:r>
              <w:rPr>
                <w:rFonts w:ascii="ＭＳ ゴシック" w:hAnsi="ＭＳ ゴシック" w:cs="" w:eastAsia="ＭＳ ゴシック"/>
                <w:kern w:val="2"/>
                <w:sz w:val="26"/>
                <w:szCs w:val="26"/>
                <w:lang w:val="en-US" w:eastAsia="ja-JP" w:bidi="ar-SA"/>
              </w:rPr>
              <w:t>チェック担当者名</w:t>
            </w:r>
          </w:p>
        </w:tc>
      </w:tr>
      <w:tr>
        <w:trPr>
          <w:trHeight w:val="570" w:hRule="atLeast"/>
        </w:trPr>
        <w:tc>
          <w:tcPr>
            <w:tcW w:w="2551" w:type="dxa"/>
            <w:tcBorders>
              <w:top w:val="single" w:sz="6" w:space="0" w:color="000000"/>
              <w:left w:val="single" w:sz="12" w:space="0" w:color="000000"/>
              <w:bottom w:val="single" w:sz="12" w:space="0" w:color="000000"/>
              <w:right w:val="single" w:sz="6" w:space="0" w:color="000000"/>
            </w:tcBorders>
            <w:shd w:color="auto" w:fill="FFFFFF" w:themeFill="background1" w:val="clear"/>
            <w:vAlign w:val="center"/>
          </w:tcPr>
          <w:p>
            <w:pPr>
              <w:pStyle w:val="Normal"/>
              <w:widowControl w:val="false"/>
              <w:spacing w:lineRule="exact" w:line="300" w:before="0" w:after="0"/>
              <w:rPr>
                <w:rFonts w:ascii="ＭＳ ゴシック" w:hAnsi="ＭＳ ゴシック" w:eastAsia="ＭＳ ゴシック"/>
                <w:sz w:val="26"/>
                <w:szCs w:val="26"/>
              </w:rPr>
            </w:pPr>
            <w:r>
              <w:rPr>
                <w:rFonts w:eastAsia="ＭＳ ゴシック" w:cs="" w:ascii="ＭＳ ゴシック" w:hAnsi="ＭＳ ゴシック"/>
                <w:kern w:val="2"/>
                <w:sz w:val="26"/>
                <w:szCs w:val="26"/>
                <w:lang w:val="en-US" w:eastAsia="ja-JP" w:bidi="ar-SA"/>
              </w:rPr>
            </w:r>
          </w:p>
        </w:tc>
        <w:tc>
          <w:tcPr>
            <w:tcW w:w="2678" w:type="dxa"/>
            <w:tcBorders>
              <w:top w:val="single" w:sz="6" w:space="0" w:color="000000"/>
              <w:left w:val="single" w:sz="6" w:space="0" w:color="000000"/>
              <w:bottom w:val="single" w:sz="12" w:space="0" w:color="000000"/>
              <w:right w:val="single" w:sz="12" w:space="0" w:color="000000"/>
            </w:tcBorders>
            <w:shd w:color="auto" w:fill="FFFFFF" w:themeFill="background1" w:val="clear"/>
          </w:tcPr>
          <w:p>
            <w:pPr>
              <w:pStyle w:val="Normal"/>
              <w:widowControl w:val="false"/>
              <w:spacing w:lineRule="exact" w:line="300" w:before="0" w:after="0"/>
              <w:rPr>
                <w:rFonts w:ascii="ＭＳ ゴシック" w:hAnsi="ＭＳ ゴシック" w:eastAsia="ＭＳ ゴシック"/>
                <w:sz w:val="26"/>
                <w:szCs w:val="26"/>
              </w:rPr>
            </w:pPr>
            <w:r>
              <w:rPr>
                <w:rFonts w:eastAsia="ＭＳ ゴシック" w:cs="" w:ascii="ＭＳ ゴシック" w:hAnsi="ＭＳ ゴシック"/>
                <w:kern w:val="2"/>
                <w:sz w:val="26"/>
                <w:szCs w:val="26"/>
                <w:lang w:val="en-US" w:eastAsia="ja-JP" w:bidi="ar-SA"/>
              </w:rPr>
            </w:r>
          </w:p>
        </w:tc>
      </w:tr>
    </w:tbl>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7669"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1842"/>
        <w:gridCol w:w="5826"/>
      </w:tblGrid>
      <w:tr>
        <w:trPr>
          <w:trHeight w:val="615" w:hRule="atLeast"/>
        </w:trPr>
        <w:tc>
          <w:tcPr>
            <w:tcW w:w="1842" w:type="dxa"/>
            <w:tcBorders>
              <w:top w:val="single" w:sz="12" w:space="0" w:color="000000"/>
              <w:left w:val="single" w:sz="12" w:space="0" w:color="000000"/>
            </w:tcBorders>
            <w:shd w:color="auto" w:fill="F2F2F2" w:themeFill="background1" w:themeFillShade="f2" w:val="clear"/>
            <w:vAlign w:val="center"/>
          </w:tcPr>
          <w:p>
            <w:pPr>
              <w:pStyle w:val="Normal"/>
              <w:widowControl w:val="false"/>
              <w:spacing w:lineRule="exact" w:line="300" w:before="0" w:after="0"/>
              <w:rPr>
                <w:rFonts w:ascii="ＭＳ ゴシック" w:hAnsi="ＭＳ ゴシック" w:eastAsia="ＭＳ ゴシック"/>
                <w:sz w:val="26"/>
                <w:szCs w:val="26"/>
              </w:rPr>
            </w:pPr>
            <w:r>
              <w:rPr>
                <w:rFonts w:ascii="ＭＳ ゴシック" w:hAnsi="ＭＳ ゴシック" w:cs="" w:eastAsia="ＭＳ ゴシック"/>
                <w:kern w:val="2"/>
                <w:sz w:val="26"/>
                <w:szCs w:val="26"/>
                <w:lang w:val="en-US" w:eastAsia="ja-JP" w:bidi="ar-SA"/>
              </w:rPr>
              <w:t>医療施設名</w:t>
            </w:r>
          </w:p>
        </w:tc>
        <w:tc>
          <w:tcPr>
            <w:tcW w:w="5826" w:type="dxa"/>
            <w:tcBorders>
              <w:top w:val="single" w:sz="12" w:space="0" w:color="000000"/>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26"/>
                <w:szCs w:val="26"/>
              </w:rPr>
            </w:pPr>
            <w:r>
              <w:rPr>
                <w:rFonts w:eastAsia="ＭＳ ゴシック" w:cs="" w:ascii="ＭＳ ゴシック" w:hAnsi="ＭＳ ゴシック"/>
                <w:kern w:val="2"/>
                <w:sz w:val="26"/>
                <w:szCs w:val="26"/>
                <w:lang w:val="en-US" w:eastAsia="ja-JP" w:bidi="ar-SA"/>
              </w:rPr>
            </w:r>
          </w:p>
        </w:tc>
      </w:tr>
      <w:tr>
        <w:trPr>
          <w:trHeight w:val="570" w:hRule="atLeast"/>
        </w:trPr>
        <w:tc>
          <w:tcPr>
            <w:tcW w:w="1842" w:type="dxa"/>
            <w:tcBorders>
              <w:left w:val="single" w:sz="12" w:space="0" w:color="000000"/>
              <w:bottom w:val="single" w:sz="12" w:space="0" w:color="000000"/>
            </w:tcBorders>
            <w:shd w:color="auto" w:fill="F2F2F2" w:themeFill="background1" w:themeFillShade="f2" w:val="clear"/>
            <w:vAlign w:val="center"/>
          </w:tcPr>
          <w:p>
            <w:pPr>
              <w:pStyle w:val="Normal"/>
              <w:widowControl w:val="false"/>
              <w:spacing w:lineRule="exact" w:line="300" w:before="0" w:after="0"/>
              <w:rPr>
                <w:rFonts w:ascii="ＭＳ ゴシック" w:hAnsi="ＭＳ ゴシック" w:eastAsia="ＭＳ ゴシック"/>
                <w:sz w:val="26"/>
                <w:szCs w:val="26"/>
              </w:rPr>
            </w:pPr>
            <w:r>
              <w:rPr>
                <w:rFonts w:ascii="ＭＳ ゴシック" w:hAnsi="ＭＳ ゴシック" w:cs="" w:eastAsia="ＭＳ ゴシック"/>
                <w:kern w:val="2"/>
                <w:sz w:val="26"/>
                <w:szCs w:val="26"/>
                <w:lang w:val="en-US" w:eastAsia="ja-JP" w:bidi="ar-SA"/>
              </w:rPr>
              <w:t>市町村名</w:t>
            </w:r>
          </w:p>
        </w:tc>
        <w:tc>
          <w:tcPr>
            <w:tcW w:w="5826" w:type="dxa"/>
            <w:tcBorders>
              <w:bottom w:val="single" w:sz="12" w:space="0" w:color="000000"/>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26"/>
                <w:szCs w:val="26"/>
              </w:rPr>
            </w:pPr>
            <w:r>
              <w:rPr>
                <w:rFonts w:eastAsia="ＭＳ ゴシック" w:cs="" w:ascii="ＭＳ ゴシック" w:hAnsi="ＭＳ ゴシック"/>
                <w:kern w:val="2"/>
                <w:sz w:val="26"/>
                <w:szCs w:val="26"/>
                <w:lang w:val="en-US" w:eastAsia="ja-JP" w:bidi="ar-SA"/>
              </w:rPr>
            </w:r>
          </w:p>
        </w:tc>
      </w:tr>
    </w:tbl>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965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1564"/>
        <w:gridCol w:w="4091"/>
        <w:gridCol w:w="1985"/>
        <w:gridCol w:w="2013"/>
      </w:tblGrid>
      <w:tr>
        <w:trPr>
          <w:trHeight w:val="288" w:hRule="atLeast"/>
        </w:trPr>
        <w:tc>
          <w:tcPr>
            <w:tcW w:w="5655" w:type="dxa"/>
            <w:gridSpan w:val="2"/>
            <w:tcBorders>
              <w:top w:val="single" w:sz="12" w:space="0" w:color="000000"/>
              <w:left w:val="single" w:sz="12" w:space="0" w:color="000000"/>
              <w:bottom w:val="single" w:sz="12" w:space="0" w:color="000000"/>
              <w:right w:val="single" w:sz="6"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医療施設の災害リスク情報の確認</w:t>
            </w:r>
          </w:p>
        </w:tc>
        <w:tc>
          <w:tcPr>
            <w:tcW w:w="1985" w:type="dxa"/>
            <w:tcBorders>
              <w:top w:val="single" w:sz="12" w:space="0" w:color="000000"/>
              <w:left w:val="single" w:sz="6" w:space="0" w:color="000000"/>
              <w:bottom w:val="single" w:sz="12" w:space="0" w:color="000000"/>
              <w:right w:val="single" w:sz="6"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b/>
                <w:b/>
                <w:sz w:val="22"/>
              </w:rPr>
            </w:pPr>
            <w:r>
              <w:rPr>
                <w:rFonts w:ascii="ＭＳ ゴシック" w:hAnsi="ＭＳ ゴシック" w:cs="" w:eastAsia="ＭＳ ゴシック"/>
                <w:b/>
                <w:kern w:val="2"/>
                <w:sz w:val="22"/>
                <w:szCs w:val="22"/>
                <w:lang w:val="en-US" w:eastAsia="ja-JP" w:bidi="ar-SA"/>
              </w:rPr>
              <w:t>医療施設</w:t>
            </w:r>
          </w:p>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チェック欄</w:t>
            </w:r>
          </w:p>
        </w:tc>
        <w:tc>
          <w:tcPr>
            <w:tcW w:w="2013" w:type="dxa"/>
            <w:tcBorders>
              <w:top w:val="single" w:sz="12" w:space="0" w:color="000000"/>
              <w:left w:val="single" w:sz="6" w:space="0" w:color="000000"/>
              <w:bottom w:val="single" w:sz="12" w:space="0" w:color="000000"/>
              <w:right w:val="single" w:sz="12"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b/>
                <w:b/>
                <w:sz w:val="22"/>
              </w:rPr>
            </w:pPr>
            <w:r>
              <w:rPr>
                <w:rFonts w:ascii="ＭＳ ゴシック" w:hAnsi="ＭＳ ゴシック" w:cs="" w:eastAsia="ＭＳ ゴシック"/>
                <w:b/>
                <w:kern w:val="2"/>
                <w:sz w:val="22"/>
                <w:szCs w:val="22"/>
                <w:lang w:val="en-US" w:eastAsia="ja-JP" w:bidi="ar-SA"/>
              </w:rPr>
              <w:t>市町村</w:t>
            </w:r>
          </w:p>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チェック欄</w:t>
            </w:r>
          </w:p>
        </w:tc>
      </w:tr>
      <w:tr>
        <w:trPr>
          <w:trHeight w:val="300" w:hRule="atLeast"/>
        </w:trPr>
        <w:tc>
          <w:tcPr>
            <w:tcW w:w="5655" w:type="dxa"/>
            <w:gridSpan w:val="2"/>
            <w:tcBorders>
              <w:top w:val="single" w:sz="12" w:space="0" w:color="000000"/>
              <w:left w:val="single" w:sz="12" w:space="0" w:color="000000"/>
              <w:bottom w:val="single" w:sz="6"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災害リスクに応じて、当該医療施設が市町村地域防災計画に位置づけられているか</w:t>
            </w:r>
          </w:p>
        </w:tc>
        <w:tc>
          <w:tcPr>
            <w:tcW w:w="1985" w:type="dxa"/>
            <w:tcBorders>
              <w:top w:val="single" w:sz="12" w:space="0" w:color="000000"/>
              <w:left w:val="single" w:sz="6" w:space="0" w:color="000000"/>
              <w:bottom w:val="single" w:sz="6"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位置づけを確認した</w:t>
            </w:r>
          </w:p>
        </w:tc>
        <w:tc>
          <w:tcPr>
            <w:tcW w:w="2013" w:type="dxa"/>
            <w:tcBorders>
              <w:top w:val="single" w:sz="12" w:space="0" w:color="000000"/>
              <w:left w:val="single" w:sz="6" w:space="0" w:color="000000"/>
              <w:bottom w:val="single" w:sz="6"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位置づけている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位置づけていない</w:t>
            </w:r>
          </w:p>
        </w:tc>
      </w:tr>
      <w:tr>
        <w:trPr>
          <w:trHeight w:val="652" w:hRule="atLeast"/>
        </w:trPr>
        <w:tc>
          <w:tcPr>
            <w:tcW w:w="1564" w:type="dxa"/>
            <w:vMerge w:val="restart"/>
            <w:tcBorders>
              <w:top w:val="single" w:sz="6" w:space="0" w:color="000000"/>
              <w:left w:val="single" w:sz="12" w:space="0" w:color="000000"/>
              <w:bottom w:val="single" w:sz="12"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災害リスクの確認</w:t>
            </w:r>
          </w:p>
        </w:tc>
        <w:tc>
          <w:tcPr>
            <w:tcW w:w="40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洪水浸水想定区域内に位置するか</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位置する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位置していない</w:t>
            </w:r>
          </w:p>
        </w:tc>
        <w:tc>
          <w:tcPr>
            <w:tcW w:w="2013" w:type="dxa"/>
            <w:tcBorders>
              <w:top w:val="single" w:sz="6" w:space="0" w:color="000000"/>
              <w:left w:val="single" w:sz="6" w:space="0" w:color="000000"/>
              <w:bottom w:val="single" w:sz="6"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位置する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位置していない</w:t>
            </w:r>
          </w:p>
        </w:tc>
      </w:tr>
      <w:tr>
        <w:trPr>
          <w:trHeight w:val="299" w:hRule="atLeast"/>
        </w:trPr>
        <w:tc>
          <w:tcPr>
            <w:tcW w:w="1564" w:type="dxa"/>
            <w:vMerge w:val="continue"/>
            <w:tcBorders>
              <w:top w:val="single" w:sz="12" w:space="0" w:color="000000"/>
              <w:left w:val="single" w:sz="12" w:space="0" w:color="000000"/>
              <w:bottom w:val="single" w:sz="12"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4091" w:type="dxa"/>
            <w:tcBorders>
              <w:top w:val="single" w:sz="6" w:space="0" w:color="000000"/>
              <w:left w:val="single" w:sz="6" w:space="0" w:color="000000"/>
              <w:bottom w:val="single" w:sz="12"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土砂災害警戒区域・土砂災害特別警戒区域内に位置するか</w:t>
            </w:r>
          </w:p>
        </w:tc>
        <w:tc>
          <w:tcPr>
            <w:tcW w:w="1985" w:type="dxa"/>
            <w:tcBorders>
              <w:top w:val="single" w:sz="6" w:space="0" w:color="000000"/>
              <w:left w:val="single" w:sz="6" w:space="0" w:color="000000"/>
              <w:bottom w:val="single" w:sz="12"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位置する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位置していない</w:t>
            </w:r>
          </w:p>
        </w:tc>
        <w:tc>
          <w:tcPr>
            <w:tcW w:w="2013" w:type="dxa"/>
            <w:tcBorders>
              <w:top w:val="single" w:sz="6" w:space="0" w:color="000000"/>
              <w:left w:val="single" w:sz="6" w:space="0" w:color="000000"/>
              <w:bottom w:val="single" w:sz="12"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位置する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位置していない</w:t>
            </w:r>
          </w:p>
        </w:tc>
      </w:tr>
    </w:tbl>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967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856"/>
        <w:gridCol w:w="6217"/>
        <w:gridCol w:w="1275"/>
        <w:gridCol w:w="1323"/>
      </w:tblGrid>
      <w:tr>
        <w:trPr>
          <w:trHeight w:val="660" w:hRule="atLeast"/>
        </w:trPr>
        <w:tc>
          <w:tcPr>
            <w:tcW w:w="856" w:type="dxa"/>
            <w:tcBorders>
              <w:top w:val="single" w:sz="12" w:space="0" w:color="000000"/>
              <w:left w:val="single" w:sz="12" w:space="0" w:color="000000"/>
              <w:bottom w:val="double" w:sz="4"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計画項目</w:t>
            </w:r>
          </w:p>
        </w:tc>
        <w:tc>
          <w:tcPr>
            <w:tcW w:w="6217" w:type="dxa"/>
            <w:tcBorders>
              <w:top w:val="single" w:sz="12" w:space="0" w:color="000000"/>
              <w:bottom w:val="double" w:sz="4"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チェック項目</w:t>
            </w:r>
          </w:p>
        </w:tc>
        <w:tc>
          <w:tcPr>
            <w:tcW w:w="1275" w:type="dxa"/>
            <w:tcBorders>
              <w:top w:val="single" w:sz="12" w:space="0" w:color="000000"/>
              <w:bottom w:val="double" w:sz="4"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b/>
                <w:b/>
                <w:sz w:val="22"/>
              </w:rPr>
            </w:pPr>
            <w:r>
              <w:rPr>
                <w:rFonts w:ascii="ＭＳ ゴシック" w:hAnsi="ＭＳ ゴシック" w:cs="" w:eastAsia="ＭＳ ゴシック"/>
                <w:b/>
                <w:kern w:val="2"/>
                <w:sz w:val="22"/>
                <w:szCs w:val="22"/>
                <w:lang w:val="en-US" w:eastAsia="ja-JP" w:bidi="ar-SA"/>
              </w:rPr>
              <w:t>施設</w:t>
            </w:r>
          </w:p>
          <w:p>
            <w:pPr>
              <w:pStyle w:val="Normal"/>
              <w:widowControl w:val="false"/>
              <w:spacing w:lineRule="exact" w:line="300"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チェック欄</w:t>
            </w:r>
          </w:p>
        </w:tc>
        <w:tc>
          <w:tcPr>
            <w:tcW w:w="1323" w:type="dxa"/>
            <w:tcBorders>
              <w:top w:val="single" w:sz="12" w:space="0" w:color="000000"/>
              <w:bottom w:val="double" w:sz="4" w:space="0" w:color="000000"/>
              <w:right w:val="single" w:sz="12"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b/>
                <w:b/>
                <w:sz w:val="22"/>
              </w:rPr>
            </w:pPr>
            <w:r>
              <w:rPr>
                <w:rFonts w:ascii="ＭＳ ゴシック" w:hAnsi="ＭＳ ゴシック" w:cs="" w:eastAsia="ＭＳ ゴシック"/>
                <w:b/>
                <w:kern w:val="2"/>
                <w:sz w:val="22"/>
                <w:szCs w:val="22"/>
                <w:lang w:val="en-US" w:eastAsia="ja-JP" w:bidi="ar-SA"/>
              </w:rPr>
              <w:t>市町村</w:t>
            </w:r>
          </w:p>
          <w:p>
            <w:pPr>
              <w:pStyle w:val="Normal"/>
              <w:widowControl w:val="false"/>
              <w:spacing w:lineRule="exact" w:line="300"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チェック欄</w:t>
            </w:r>
          </w:p>
        </w:tc>
      </w:tr>
      <w:tr>
        <w:trPr>
          <w:trHeight w:val="262" w:hRule="atLeast"/>
        </w:trPr>
        <w:tc>
          <w:tcPr>
            <w:tcW w:w="7073" w:type="dxa"/>
            <w:gridSpan w:val="2"/>
            <w:tcBorders>
              <w:top w:val="single" w:sz="8" w:space="0" w:color="000000"/>
              <w:left w:val="single" w:sz="12" w:space="0" w:color="000000"/>
              <w:bottom w:val="nil"/>
            </w:tcBorders>
            <w:shd w:color="auto" w:fill="auto" w:val="clear"/>
            <w:vAlign w:val="center"/>
          </w:tcPr>
          <w:p>
            <w:pPr>
              <w:pStyle w:val="ListParagraph"/>
              <w:widowControl w:val="false"/>
              <w:numPr>
                <w:ilvl w:val="0"/>
                <w:numId w:val="1"/>
              </w:numPr>
              <w:spacing w:lineRule="exact" w:line="300" w:before="0" w:after="0"/>
              <w:jc w:val="left"/>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防災体制、情報の収集・伝達</w:t>
            </w:r>
          </w:p>
          <w:p>
            <w:pPr>
              <w:pStyle w:val="Normal"/>
              <w:widowControl w:val="false"/>
              <w:spacing w:lineRule="exact" w:line="300" w:before="0" w:after="0"/>
              <w:jc w:val="left"/>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（水防法施行規則</w:t>
            </w:r>
            <w:r>
              <w:rPr>
                <w:rFonts w:eastAsia="ＭＳ ゴシック" w:cs="" w:ascii="ＭＳ ゴシック" w:hAnsi="ＭＳ ゴシック"/>
                <w:kern w:val="2"/>
                <w:sz w:val="18"/>
                <w:szCs w:val="18"/>
                <w:lang w:val="en-US" w:eastAsia="ja-JP" w:bidi="ar-SA"/>
              </w:rPr>
              <w:t>16</w:t>
            </w:r>
            <w:r>
              <w:rPr>
                <w:rFonts w:ascii="ＭＳ ゴシック" w:hAnsi="ＭＳ ゴシック" w:cs="" w:eastAsia="ＭＳ ゴシック"/>
                <w:kern w:val="2"/>
                <w:sz w:val="18"/>
                <w:szCs w:val="18"/>
                <w:lang w:val="en-US" w:eastAsia="ja-JP" w:bidi="ar-SA"/>
              </w:rPr>
              <w:t>条一）洪水時の防災体制に関する事項、（土砂災害防止法施行規則</w:t>
            </w:r>
            <w:r>
              <w:rPr>
                <w:rFonts w:eastAsia="ＭＳ ゴシック" w:cs="" w:ascii="ＭＳ ゴシック" w:hAnsi="ＭＳ ゴシック"/>
                <w:kern w:val="2"/>
                <w:sz w:val="18"/>
                <w:szCs w:val="18"/>
                <w:lang w:val="en-US" w:eastAsia="ja-JP" w:bidi="ar-SA"/>
              </w:rPr>
              <w:t>5</w:t>
            </w:r>
            <w:r>
              <w:rPr>
                <w:rFonts w:ascii="ＭＳ ゴシック" w:hAnsi="ＭＳ ゴシック" w:cs="" w:eastAsia="ＭＳ ゴシック"/>
                <w:kern w:val="2"/>
                <w:sz w:val="18"/>
                <w:szCs w:val="18"/>
                <w:lang w:val="en-US" w:eastAsia="ja-JP" w:bidi="ar-SA"/>
              </w:rPr>
              <w:t>条の</w:t>
            </w:r>
            <w:r>
              <w:rPr>
                <w:rFonts w:eastAsia="ＭＳ ゴシック" w:cs="" w:ascii="ＭＳ ゴシック" w:hAnsi="ＭＳ ゴシック"/>
                <w:kern w:val="2"/>
                <w:sz w:val="18"/>
                <w:szCs w:val="18"/>
                <w:lang w:val="en-US" w:eastAsia="ja-JP" w:bidi="ar-SA"/>
              </w:rPr>
              <w:t>2</w:t>
            </w:r>
            <w:r>
              <w:rPr>
                <w:rFonts w:ascii="ＭＳ ゴシック" w:hAnsi="ＭＳ ゴシック" w:cs="" w:eastAsia="ＭＳ ゴシック"/>
                <w:kern w:val="2"/>
                <w:sz w:val="18"/>
                <w:szCs w:val="18"/>
                <w:lang w:val="en-US" w:eastAsia="ja-JP" w:bidi="ar-SA"/>
              </w:rPr>
              <w:t>一）土砂災害が発生するおそれがある場合における防災体制に関する事項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vAlign w:val="center"/>
          </w:tcPr>
          <w:p>
            <w:pPr>
              <w:pStyle w:val="Normal"/>
              <w:widowControl w:val="false"/>
              <w:spacing w:lineRule="exact" w:line="300" w:before="0" w:after="0"/>
              <w:jc w:val="center"/>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965"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tcPr>
          <w:p>
            <w:pPr>
              <w:pStyle w:val="ListParagraph"/>
              <w:widowControl w:val="false"/>
              <w:numPr>
                <w:ilvl w:val="0"/>
                <w:numId w:val="4"/>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医療施設の所在する地域における、浸水するおそれのある河川の情報、土砂災害に関する情報や避難情報を収集・伝達する体制が定められているか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542" w:hRule="atLeast"/>
        </w:trPr>
        <w:tc>
          <w:tcPr>
            <w:tcW w:w="856" w:type="dxa"/>
            <w:vMerge w:val="continue"/>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cs="" w:asciiTheme="majorEastAsia" w:hAnsiTheme="majorEastAsia"/>
                <w:kern w:val="2"/>
                <w:sz w:val="20"/>
                <w:szCs w:val="20"/>
                <w:lang w:val="en-US" w:eastAsia="ja-JP" w:bidi="ar-SA"/>
              </w:rPr>
              <w:t>【着眼点】</w:t>
            </w:r>
          </w:p>
          <w:p>
            <w:pPr>
              <w:pStyle w:val="ListParagraph"/>
              <w:widowControl w:val="false"/>
              <w:numPr>
                <w:ilvl w:val="0"/>
                <w:numId w:val="3"/>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洪水予報、土砂災害警戒情報等の防災気象情報、市町村からの避難情報、その他避難に必要な情報について、誰が、どうやって、何を収集するか明確に記載されているか</w:t>
            </w:r>
          </w:p>
          <w:p>
            <w:pPr>
              <w:pStyle w:val="ListParagraph"/>
              <w:widowControl w:val="false"/>
              <w:numPr>
                <w:ilvl w:val="0"/>
                <w:numId w:val="3"/>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必要な情報を誰に、どうやって伝達するか、明確に記載されているか</w:t>
            </w:r>
          </w:p>
          <w:p>
            <w:pPr>
              <w:pStyle w:val="ListParagraph"/>
              <w:widowControl w:val="false"/>
              <w:numPr>
                <w:ilvl w:val="0"/>
                <w:numId w:val="3"/>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市町村等への連絡者、連絡先、連絡手段、連絡するタイミング（避難開始や避難完了のタイミング等）が記載されているか</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275" w:type="dxa"/>
            <w:vMerge w:val="continue"/>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683" w:hRule="atLeast"/>
        </w:trPr>
        <w:tc>
          <w:tcPr>
            <w:tcW w:w="856" w:type="dxa"/>
            <w:vMerge w:val="continue"/>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4"/>
              </w:numPr>
              <w:spacing w:lineRule="exact" w:line="300" w:before="0" w:after="0"/>
              <w:rPr>
                <w:rFonts w:ascii="ＭＳ Ｐゴシック" w:hAnsi="ＭＳ Ｐゴシック" w:eastAsia="ＭＳ Ｐゴシック" w:asciiTheme="majorEastAsia" w:eastAsiaTheme="majorEastAsia" w:hAnsiTheme="majorEastAsia"/>
                <w:sz w:val="22"/>
              </w:rPr>
            </w:pPr>
            <w:r>
              <w:rPr>
                <w:rFonts w:ascii="ＭＳ Ｐゴシック" w:hAnsi="ＭＳ Ｐゴシック" w:cs="" w:asciiTheme="majorEastAsia" w:hAnsiTheme="majorEastAsia"/>
                <w:kern w:val="2"/>
                <w:sz w:val="22"/>
                <w:szCs w:val="22"/>
                <w:lang w:val="en-US" w:eastAsia="ja-JP" w:bidi="ar-SA"/>
              </w:rPr>
              <w:t>警戒レベル３「高齢者等避難」の発令の段階で利用者の避難誘導を行う体制となっているか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2138" w:hRule="atLeast"/>
        </w:trPr>
        <w:tc>
          <w:tcPr>
            <w:tcW w:w="856" w:type="dxa"/>
            <w:vMerge w:val="continue"/>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tcPr>
          <w:p>
            <w:pPr>
              <w:pStyle w:val="Normal"/>
              <w:widowControl w:val="false"/>
              <w:spacing w:lineRule="exact" w:line="300" w:before="0" w:after="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cs="" w:asciiTheme="majorEastAsia" w:hAnsiTheme="maj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警戒レベル３「高齢者等避難」の発令が、医療施設の災害対策マニュアルにおいて位置づけられていて、その発令を受け避難行動をとる体制となっているか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避難の頻度が多くなると、避難行動自体が患者の負担となり得ることから、患者の健康状態に応じて避難の開始タイミングを分けるなど、医療施設の実情に応じた避難方法を定めているか</w:t>
            </w:r>
          </w:p>
          <w:p>
            <w:pPr>
              <w:pStyle w:val="ListParagraph"/>
              <w:widowControl w:val="false"/>
              <w:spacing w:lineRule="exact" w:line="300" w:before="0" w:after="0"/>
              <w:ind w:left="360" w:hanging="0"/>
              <w:rPr>
                <w:rFonts w:ascii="ＭＳ Ｐ明朝" w:hAnsi="ＭＳ Ｐ明朝" w:eastAsia="ＭＳ Ｐ明朝"/>
                <w:sz w:val="20"/>
                <w:szCs w:val="20"/>
              </w:rPr>
            </w:pPr>
            <w:r>
              <w:rPr>
                <w:rFonts w:eastAsia="ＭＳ Ｐ明朝" w:cs="" w:ascii="ＭＳ Ｐ明朝" w:hAnsi="ＭＳ Ｐ明朝"/>
                <w:kern w:val="2"/>
                <w:sz w:val="20"/>
                <w:szCs w:val="20"/>
                <w:lang w:val="en-US" w:eastAsia="ja-JP" w:bidi="ar-SA"/>
              </w:rPr>
            </w:r>
          </w:p>
        </w:tc>
        <w:tc>
          <w:tcPr>
            <w:tcW w:w="1275" w:type="dxa"/>
            <w:vMerge w:val="continue"/>
            <w:tcBorders/>
            <w:vAlign w:val="center"/>
          </w:tcPr>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323" w:type="dxa"/>
            <w:vMerge w:val="continue"/>
            <w:tcBorders>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r>
      <w:tr>
        <w:trPr>
          <w:trHeight w:val="451"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4"/>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警戒レベル３「高齢者等避難」等の発令が無い場合でも避難の判断できるよう、複数の判断材料が設定されているか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1267"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cs="" w:asciiTheme="majorEastAsia" w:hAnsiTheme="maj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警戒レベル３「高齢者等避難」の発令の目安となる氾濫警戒情報及び大雨警報（土砂災害）や、避難指示の目安となる氾濫危険情報及び土砂災害警戒情報についても判断材料として利用されているか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警戒レベル３「高齢者等避難」の発令が無い場合でも避難の判断ができるよう、複数の判断材料を設定しているか　</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医療施設において、警戒レベル３「高齢者等避難」の発令が想定されるような、台風などが予想される場合、臨時に休診とすることを設定しているか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避難開始の判断の目安とするため、患者全員が避難するのに要する時間について、計画に記載しているか</w:t>
            </w:r>
          </w:p>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275" w:type="dxa"/>
            <w:vMerge w:val="continue"/>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0" w:hRule="atLeast"/>
        </w:trPr>
        <w:tc>
          <w:tcPr>
            <w:tcW w:w="7073" w:type="dxa"/>
            <w:gridSpan w:val="2"/>
            <w:tcBorders>
              <w:top w:val="single" w:sz="8" w:space="0" w:color="000000"/>
              <w:left w:val="single" w:sz="12" w:space="0" w:color="000000"/>
              <w:bottom w:val="nil"/>
            </w:tcBorders>
          </w:tcPr>
          <w:p>
            <w:pPr>
              <w:pStyle w:val="ListParagraph"/>
              <w:widowControl w:val="false"/>
              <w:numPr>
                <w:ilvl w:val="0"/>
                <w:numId w:val="1"/>
              </w:numPr>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避難誘導</w:t>
            </w:r>
          </w:p>
          <w:p>
            <w:pPr>
              <w:pStyle w:val="Normal"/>
              <w:widowControl w:val="false"/>
              <w:spacing w:lineRule="exact" w:line="300" w:before="0" w:after="0"/>
              <w:rPr>
                <w:rFonts w:ascii="ＭＳ ゴシック" w:hAnsi="ＭＳ ゴシック" w:eastAsia="ＭＳ ゴシック"/>
                <w:sz w:val="24"/>
                <w:szCs w:val="26"/>
              </w:rPr>
            </w:pPr>
            <w:r>
              <w:rPr>
                <w:rFonts w:ascii="ＭＳ ゴシック" w:hAnsi="ＭＳ ゴシック" w:cs="" w:eastAsia="ＭＳ ゴシック"/>
                <w:kern w:val="2"/>
                <w:sz w:val="18"/>
                <w:szCs w:val="26"/>
                <w:lang w:val="en-US" w:eastAsia="ja-JP" w:bidi="ar-SA"/>
              </w:rPr>
              <w:t>（水防法施行規則</w:t>
            </w:r>
            <w:r>
              <w:rPr>
                <w:rFonts w:eastAsia="ＭＳ ゴシック" w:cs="" w:ascii="ＭＳ ゴシック" w:hAnsi="ＭＳ ゴシック"/>
                <w:kern w:val="2"/>
                <w:sz w:val="18"/>
                <w:szCs w:val="26"/>
                <w:lang w:val="en-US" w:eastAsia="ja-JP" w:bidi="ar-SA"/>
              </w:rPr>
              <w:t>16</w:t>
            </w:r>
            <w:r>
              <w:rPr>
                <w:rFonts w:ascii="ＭＳ ゴシック" w:hAnsi="ＭＳ ゴシック" w:cs="" w:eastAsia="ＭＳ ゴシック"/>
                <w:kern w:val="2"/>
                <w:sz w:val="18"/>
                <w:szCs w:val="26"/>
                <w:lang w:val="en-US" w:eastAsia="ja-JP" w:bidi="ar-SA"/>
              </w:rPr>
              <w:t>条二）洪水時の避難の誘導に関する事項、（土砂災害防止法施行規則</w:t>
            </w:r>
            <w:r>
              <w:rPr>
                <w:rFonts w:eastAsia="ＭＳ ゴシック" w:cs="" w:ascii="ＭＳ ゴシック" w:hAnsi="ＭＳ ゴシック"/>
                <w:kern w:val="2"/>
                <w:sz w:val="18"/>
                <w:szCs w:val="26"/>
                <w:lang w:val="en-US" w:eastAsia="ja-JP" w:bidi="ar-SA"/>
              </w:rPr>
              <w:t>5</w:t>
            </w:r>
            <w:r>
              <w:rPr>
                <w:rFonts w:ascii="ＭＳ ゴシック" w:hAnsi="ＭＳ ゴシック" w:cs="" w:eastAsia="ＭＳ ゴシック"/>
                <w:kern w:val="2"/>
                <w:sz w:val="18"/>
                <w:szCs w:val="26"/>
                <w:lang w:val="en-US" w:eastAsia="ja-JP" w:bidi="ar-SA"/>
              </w:rPr>
              <w:t>条の</w:t>
            </w:r>
            <w:r>
              <w:rPr>
                <w:rFonts w:eastAsia="ＭＳ ゴシック" w:cs="" w:ascii="ＭＳ ゴシック" w:hAnsi="ＭＳ ゴシック"/>
                <w:kern w:val="2"/>
                <w:sz w:val="18"/>
                <w:szCs w:val="26"/>
                <w:lang w:val="en-US" w:eastAsia="ja-JP" w:bidi="ar-SA"/>
              </w:rPr>
              <w:t>2</w:t>
            </w:r>
            <w:r>
              <w:rPr>
                <w:rFonts w:ascii="ＭＳ ゴシック" w:hAnsi="ＭＳ ゴシック" w:cs="" w:eastAsia="ＭＳ ゴシック"/>
                <w:kern w:val="2"/>
                <w:sz w:val="18"/>
                <w:szCs w:val="26"/>
                <w:lang w:val="en-US" w:eastAsia="ja-JP" w:bidi="ar-SA"/>
              </w:rPr>
              <w:t>二）土砂災害が発生するおそれがある場合における避難の誘導に関する事項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622"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tcPr>
          <w:p>
            <w:pPr>
              <w:pStyle w:val="ListParagraph"/>
              <w:widowControl w:val="false"/>
              <w:numPr>
                <w:ilvl w:val="0"/>
                <w:numId w:val="5"/>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避難先は避難の実効性が確保された場所に設定されているか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266"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tcPr>
          <w:p>
            <w:pPr>
              <w:pStyle w:val="Normal"/>
              <w:widowControl w:val="false"/>
              <w:spacing w:lineRule="exact" w:line="300" w:before="0" w:after="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cs="" w:asciiTheme="majorEastAsia" w:hAnsiTheme="majorEastAsia"/>
                <w:kern w:val="2"/>
                <w:sz w:val="20"/>
                <w:szCs w:val="20"/>
                <w:lang w:val="en-US" w:eastAsia="ja-JP" w:bidi="ar-SA"/>
              </w:rPr>
              <w:t>【着眼点】</w:t>
            </w:r>
          </w:p>
          <w:p>
            <w:pPr>
              <w:pStyle w:val="Normal"/>
              <w:widowControl w:val="false"/>
              <w:spacing w:lineRule="exact" w:line="300" w:before="0" w:after="0"/>
              <w:ind w:left="300" w:hanging="30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w:t>
            </w:r>
            <w:r>
              <w:rPr>
                <w:rFonts w:ascii="ＭＳ Ｐ明朝" w:hAnsi="ＭＳ Ｐ明朝" w:cs="" w:eastAsia="ＭＳ Ｐ明朝"/>
                <w:kern w:val="2"/>
                <w:sz w:val="20"/>
                <w:szCs w:val="20"/>
                <w:lang w:val="en-US" w:eastAsia="ja-JP" w:bidi="ar-SA"/>
              </w:rPr>
              <w:t>　移動に伴う患者のリスクを踏まえ、垂直避難先を確保しているか。また、垂直避難先は、浸水しない高さに設けられているか</w:t>
            </w:r>
          </w:p>
          <w:p>
            <w:pPr>
              <w:pStyle w:val="ListParagraph"/>
              <w:widowControl w:val="false"/>
              <w:numPr>
                <w:ilvl w:val="0"/>
                <w:numId w:val="2"/>
              </w:numPr>
              <w:spacing w:lineRule="exact" w:line="300" w:before="0" w:after="0"/>
              <w:rPr>
                <w:rFonts w:ascii="ＭＳ Ｐ明朝" w:hAnsi="ＭＳ Ｐ明朝" w:eastAsia="ＭＳ Ｐ明朝"/>
                <w:sz w:val="22"/>
              </w:rPr>
            </w:pPr>
            <w:r>
              <w:rPr>
                <w:rFonts w:ascii="ＭＳ Ｐ明朝" w:hAnsi="ＭＳ Ｐ明朝" w:cs="" w:eastAsia="ＭＳ Ｐ明朝"/>
                <w:kern w:val="2"/>
                <w:sz w:val="20"/>
                <w:szCs w:val="20"/>
                <w:lang w:val="en-US" w:eastAsia="ja-JP" w:bidi="ar-SA"/>
              </w:rPr>
              <w:t>水平避難（立退き避難）を行う場合は、移動に伴う患者のリスクを踏まえ、「近隣の安全な場所」や「他の医療施設」への避難とし、緊急度合いに応じた複数の避難先が確保されているか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設定されている避難先（垂直避難先、指定緊急避難場所、近隣の安全な場所、他の医療施設）が、移動に伴う患者のリスクや避難にかかる時間等を踏まえた実効性のあるものになっているか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水平避難（立退き避難）を行う場合であっても、避難先が家屋倒壊等氾濫想定区域や土砂災害警戒区域内に含まれていないこと、浸水しない高さに設けることなど施設内で安全確保の対応ができるか</w:t>
            </w:r>
          </w:p>
          <w:p>
            <w:pPr>
              <w:pStyle w:val="ListParagraph"/>
              <w:widowControl w:val="false"/>
              <w:spacing w:lineRule="exact" w:line="300" w:before="0" w:after="0"/>
              <w:ind w:left="360" w:hanging="0"/>
              <w:rPr>
                <w:rFonts w:ascii="ＭＳ Ｐ明朝" w:hAnsi="ＭＳ Ｐ明朝" w:eastAsia="ＭＳ Ｐ明朝"/>
                <w:sz w:val="20"/>
                <w:szCs w:val="20"/>
              </w:rPr>
            </w:pPr>
            <w:r>
              <w:rPr>
                <w:rFonts w:eastAsia="ＭＳ Ｐ明朝" w:cs="" w:ascii="ＭＳ Ｐ明朝" w:hAnsi="ＭＳ Ｐ明朝"/>
                <w:kern w:val="2"/>
                <w:sz w:val="20"/>
                <w:szCs w:val="20"/>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691"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5"/>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避難誘導がリスク情報を踏まえた実現可能なルート上に設定されているか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197"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水平避難（立退き避難）を行う場合、浸水想定区域や土砂災害警戒区域など、施設の災害リスク情報を踏まえた避難ルートの設定となっているか</w:t>
            </w:r>
          </w:p>
          <w:p>
            <w:pPr>
              <w:pStyle w:val="ListParagraph"/>
              <w:widowControl w:val="false"/>
              <w:numPr>
                <w:ilvl w:val="0"/>
                <w:numId w:val="2"/>
              </w:numPr>
              <w:spacing w:lineRule="exact" w:line="300" w:before="0" w:after="0"/>
              <w:rPr>
                <w:rFonts w:ascii="ＭＳ Ｐ明朝" w:hAnsi="ＭＳ Ｐ明朝" w:eastAsia="ＭＳ Ｐ明朝"/>
                <w:sz w:val="22"/>
              </w:rPr>
            </w:pPr>
            <w:r>
              <w:rPr>
                <w:rFonts w:ascii="ＭＳ Ｐ明朝" w:hAnsi="ＭＳ Ｐ明朝" w:cs="" w:eastAsia="ＭＳ Ｐ明朝"/>
                <w:kern w:val="2"/>
                <w:sz w:val="20"/>
                <w:szCs w:val="20"/>
                <w:lang w:val="en-US" w:eastAsia="ja-JP" w:bidi="ar-SA"/>
              </w:rPr>
              <w:t>水平避難（立退き避難）を行う場合、避難ルートの途中に通行止め等の障害が発生する可能性を踏まえ、複数の避難ルートを検討しておくこと</w:t>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37"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5"/>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必要に応じ、地域の協力が得られる体制が準備されているか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451" w:hRule="atLeast"/>
        </w:trPr>
        <w:tc>
          <w:tcPr>
            <w:tcW w:w="856" w:type="dxa"/>
            <w:vMerge w:val="continue"/>
            <w:tcBorders>
              <w:left w:val="single" w:sz="12" w:space="0" w:color="000000"/>
              <w:bottom w:val="single" w:sz="8"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bottom w:val="single"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職員のみだけでなく、必要に応じ消防団等の地域関係者による支援を得ることを定めているか</w:t>
            </w:r>
          </w:p>
          <w:p>
            <w:pPr>
              <w:pStyle w:val="ListParagraph"/>
              <w:widowControl w:val="false"/>
              <w:spacing w:lineRule="exact" w:line="300" w:before="0" w:after="0"/>
              <w:ind w:left="360" w:hanging="0"/>
              <w:rPr>
                <w:rFonts w:ascii="ＭＳ Ｐ明朝" w:hAnsi="ＭＳ Ｐ明朝" w:eastAsia="ＭＳ Ｐ明朝"/>
                <w:sz w:val="20"/>
                <w:szCs w:val="20"/>
              </w:rPr>
            </w:pPr>
            <w:r>
              <w:rPr>
                <w:rFonts w:eastAsia="ＭＳ Ｐ明朝" w:cs="" w:ascii="ＭＳ Ｐ明朝" w:hAnsi="ＭＳ Ｐ明朝"/>
                <w:kern w:val="2"/>
                <w:sz w:val="20"/>
                <w:szCs w:val="20"/>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420" w:hRule="atLeast"/>
        </w:trPr>
        <w:tc>
          <w:tcPr>
            <w:tcW w:w="7073" w:type="dxa"/>
            <w:gridSpan w:val="2"/>
            <w:tcBorders>
              <w:top w:val="single" w:sz="8" w:space="0" w:color="000000"/>
              <w:left w:val="single" w:sz="12" w:space="0" w:color="000000"/>
              <w:bottom w:val="nil"/>
            </w:tcBorders>
          </w:tcPr>
          <w:p>
            <w:pPr>
              <w:pStyle w:val="ListParagraph"/>
              <w:widowControl w:val="false"/>
              <w:numPr>
                <w:ilvl w:val="0"/>
                <w:numId w:val="1"/>
              </w:numPr>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施設整備</w:t>
            </w:r>
          </w:p>
          <w:p>
            <w:pPr>
              <w:pStyle w:val="Normal"/>
              <w:widowControl w:val="false"/>
              <w:spacing w:lineRule="exact" w:line="300" w:before="0" w:after="0"/>
              <w:rPr>
                <w:rFonts w:ascii="ＭＳ ゴシック" w:hAnsi="ＭＳ ゴシック" w:eastAsia="ＭＳ ゴシック"/>
                <w:w w:val="80"/>
                <w:sz w:val="24"/>
                <w:szCs w:val="26"/>
              </w:rPr>
            </w:pPr>
            <w:r>
              <w:rPr>
                <w:rFonts w:ascii="ＭＳ ゴシック" w:hAnsi="ＭＳ ゴシック" w:cs="" w:eastAsia="ＭＳ ゴシック"/>
                <w:w w:val="80"/>
                <w:kern w:val="2"/>
                <w:sz w:val="18"/>
                <w:szCs w:val="26"/>
                <w:lang w:val="en-US" w:eastAsia="ja-JP" w:bidi="ar-SA"/>
              </w:rPr>
              <w:t>（水防法施行規則</w:t>
            </w:r>
            <w:r>
              <w:rPr>
                <w:rFonts w:eastAsia="ＭＳ ゴシック" w:cs="" w:ascii="ＭＳ ゴシック" w:hAnsi="ＭＳ ゴシック"/>
                <w:w w:val="80"/>
                <w:kern w:val="2"/>
                <w:sz w:val="18"/>
                <w:szCs w:val="26"/>
                <w:lang w:val="en-US" w:eastAsia="ja-JP" w:bidi="ar-SA"/>
              </w:rPr>
              <w:t>16</w:t>
            </w:r>
            <w:r>
              <w:rPr>
                <w:rFonts w:ascii="ＭＳ ゴシック" w:hAnsi="ＭＳ ゴシック" w:cs="" w:eastAsia="ＭＳ ゴシック"/>
                <w:w w:val="80"/>
                <w:kern w:val="2"/>
                <w:sz w:val="18"/>
                <w:szCs w:val="26"/>
                <w:lang w:val="en-US" w:eastAsia="ja-JP" w:bidi="ar-SA"/>
              </w:rPr>
              <w:t>条三）洪水時の避難の確保を図るための施設の整備に関する事項、（土砂災害防止法施行規則</w:t>
            </w:r>
            <w:r>
              <w:rPr>
                <w:rFonts w:eastAsia="ＭＳ ゴシック" w:cs="" w:ascii="ＭＳ ゴシック" w:hAnsi="ＭＳ ゴシック"/>
                <w:w w:val="80"/>
                <w:kern w:val="2"/>
                <w:sz w:val="18"/>
                <w:szCs w:val="26"/>
                <w:lang w:val="en-US" w:eastAsia="ja-JP" w:bidi="ar-SA"/>
              </w:rPr>
              <w:t>5</w:t>
            </w:r>
            <w:r>
              <w:rPr>
                <w:rFonts w:ascii="ＭＳ ゴシック" w:hAnsi="ＭＳ ゴシック" w:cs="" w:eastAsia="ＭＳ ゴシック"/>
                <w:w w:val="80"/>
                <w:kern w:val="2"/>
                <w:sz w:val="18"/>
                <w:szCs w:val="26"/>
                <w:lang w:val="en-US" w:eastAsia="ja-JP" w:bidi="ar-SA"/>
              </w:rPr>
              <w:t>条の</w:t>
            </w:r>
            <w:r>
              <w:rPr>
                <w:rFonts w:eastAsia="ＭＳ ゴシック" w:cs="" w:ascii="ＭＳ ゴシック" w:hAnsi="ＭＳ ゴシック"/>
                <w:w w:val="80"/>
                <w:kern w:val="2"/>
                <w:sz w:val="18"/>
                <w:szCs w:val="26"/>
                <w:lang w:val="en-US" w:eastAsia="ja-JP" w:bidi="ar-SA"/>
              </w:rPr>
              <w:t>2</w:t>
            </w:r>
            <w:r>
              <w:rPr>
                <w:rFonts w:ascii="ＭＳ ゴシック" w:hAnsi="ＭＳ ゴシック" w:cs="" w:eastAsia="ＭＳ ゴシック"/>
                <w:w w:val="80"/>
                <w:kern w:val="2"/>
                <w:sz w:val="18"/>
                <w:szCs w:val="26"/>
                <w:lang w:val="en-US" w:eastAsia="ja-JP" w:bidi="ar-SA"/>
              </w:rPr>
              <w:t>三）土砂災害が発生するおそれがある場合における避難の確保を図るための施設の整備に関する事項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656"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6"/>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洪水予報、土砂災害に関する情報等や避難情報を入手するための方法が記載されているか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232"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2"/>
              </w:rPr>
            </w:pPr>
            <w:r>
              <w:rPr>
                <w:rFonts w:ascii="ＭＳ Ｐ明朝" w:hAnsi="ＭＳ Ｐ明朝" w:cs="" w:eastAsia="ＭＳ Ｐ明朝"/>
                <w:kern w:val="2"/>
                <w:sz w:val="20"/>
                <w:szCs w:val="20"/>
                <w:lang w:val="en-US" w:eastAsia="ja-JP" w:bidi="ar-SA"/>
              </w:rPr>
              <w:t>市町村から施設に伝達される情報が確実に届くよう、複数の手段を確保しているか</w:t>
            </w:r>
          </w:p>
          <w:p>
            <w:pPr>
              <w:pStyle w:val="ListParagraph"/>
              <w:widowControl w:val="false"/>
              <w:spacing w:lineRule="exact" w:line="300" w:before="0" w:after="0"/>
              <w:ind w:left="360" w:hanging="0"/>
              <w:rPr>
                <w:rFonts w:ascii="ＭＳ Ｐ明朝" w:hAnsi="ＭＳ Ｐ明朝" w:eastAsia="ＭＳ Ｐ明朝"/>
                <w:sz w:val="22"/>
              </w:rPr>
            </w:pPr>
            <w:r>
              <w:rPr>
                <w:rFonts w:eastAsia="ＭＳ Ｐ明朝" w:cs="" w:ascii="ＭＳ Ｐ明朝" w:hAnsi="ＭＳ Ｐ明朝"/>
                <w:kern w:val="2"/>
                <w:sz w:val="22"/>
                <w:szCs w:val="22"/>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648"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6"/>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避難に必要な設備が記載されているか、また、夜間に避難を行うことも想定して、必要な設備が記載されているか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1440"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ゴシック" w:hAnsi="ＭＳ ゴシック" w:eastAsia="ＭＳ ゴシック"/>
                <w:sz w:val="22"/>
              </w:rPr>
            </w:pPr>
            <w:r>
              <w:rPr>
                <w:rFonts w:ascii="ＭＳ Ｐ明朝" w:hAnsi="ＭＳ Ｐ明朝" w:cs="" w:eastAsia="ＭＳ Ｐ明朝"/>
                <w:kern w:val="2"/>
                <w:sz w:val="20"/>
                <w:szCs w:val="20"/>
                <w:lang w:val="en-US" w:eastAsia="ja-JP" w:bidi="ar-SA"/>
              </w:rPr>
              <w:t>避難行動する際に、患者の健康状態等を考慮し、避難に必要な設備や機材等が記載されているか</w:t>
            </w:r>
          </w:p>
          <w:p>
            <w:pPr>
              <w:pStyle w:val="ListParagraph"/>
              <w:widowControl w:val="false"/>
              <w:numPr>
                <w:ilvl w:val="0"/>
                <w:numId w:val="2"/>
              </w:numPr>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64"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6"/>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垂直避難を行う場合に備え、医療施設内等での滞在に必要な物資等が確保されているか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1290" w:hRule="atLeast"/>
        </w:trPr>
        <w:tc>
          <w:tcPr>
            <w:tcW w:w="856" w:type="dxa"/>
            <w:vMerge w:val="continue"/>
            <w:tcBorders>
              <w:left w:val="single" w:sz="12" w:space="0" w:color="000000"/>
              <w:bottom w:val="single" w:sz="8"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bottom w:val="single"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医療施設内等での屋内安全確保を行う場合に備え、備蓄や電気・水等について、長時間の浸水にも対応できるよう確保されているか</w:t>
            </w:r>
          </w:p>
          <w:p>
            <w:pPr>
              <w:pStyle w:val="Normal"/>
              <w:widowControl w:val="false"/>
              <w:spacing w:lineRule="exact" w:line="300" w:before="0" w:after="0"/>
              <w:ind w:left="360" w:hanging="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（３日分の医療施設の機能を維持できる水や非常用自家発電設備の燃料を確保することが望ましい）</w:t>
            </w:r>
          </w:p>
        </w:tc>
        <w:tc>
          <w:tcPr>
            <w:tcW w:w="1275" w:type="dxa"/>
            <w:vMerge w:val="continue"/>
            <w:tcBorders>
              <w:bottom w:val="single" w:sz="8"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bottom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0" w:hRule="atLeast"/>
        </w:trPr>
        <w:tc>
          <w:tcPr>
            <w:tcW w:w="7073" w:type="dxa"/>
            <w:gridSpan w:val="2"/>
            <w:tcBorders>
              <w:top w:val="single" w:sz="8" w:space="0" w:color="000000"/>
              <w:left w:val="single" w:sz="12" w:space="0" w:color="000000"/>
              <w:bottom w:val="nil"/>
            </w:tcBorders>
          </w:tcPr>
          <w:p>
            <w:pPr>
              <w:pStyle w:val="ListParagraph"/>
              <w:widowControl w:val="false"/>
              <w:numPr>
                <w:ilvl w:val="0"/>
                <w:numId w:val="1"/>
              </w:numPr>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教育・訓練</w:t>
            </w:r>
          </w:p>
          <w:p>
            <w:pPr>
              <w:pStyle w:val="Normal"/>
              <w:widowControl w:val="false"/>
              <w:spacing w:lineRule="exact" w:line="300" w:before="0" w:after="0"/>
              <w:rPr>
                <w:rFonts w:ascii="ＭＳ ゴシック" w:hAnsi="ＭＳ ゴシック" w:eastAsia="ＭＳ ゴシック"/>
                <w:w w:val="90"/>
                <w:sz w:val="24"/>
                <w:szCs w:val="26"/>
              </w:rPr>
            </w:pPr>
            <w:r>
              <w:rPr>
                <w:rFonts w:ascii="ＭＳ ゴシック" w:hAnsi="ＭＳ ゴシック" w:cs="" w:eastAsia="ＭＳ ゴシック"/>
                <w:w w:val="90"/>
                <w:kern w:val="2"/>
                <w:sz w:val="18"/>
                <w:szCs w:val="26"/>
                <w:lang w:val="en-US" w:eastAsia="ja-JP" w:bidi="ar-SA"/>
              </w:rPr>
              <w:t>（水防法施行規則</w:t>
            </w:r>
            <w:r>
              <w:rPr>
                <w:rFonts w:eastAsia="ＭＳ ゴシック" w:cs="" w:ascii="ＭＳ ゴシック" w:hAnsi="ＭＳ ゴシック"/>
                <w:w w:val="90"/>
                <w:kern w:val="2"/>
                <w:sz w:val="18"/>
                <w:szCs w:val="26"/>
                <w:lang w:val="en-US" w:eastAsia="ja-JP" w:bidi="ar-SA"/>
              </w:rPr>
              <w:t>16</w:t>
            </w:r>
            <w:r>
              <w:rPr>
                <w:rFonts w:ascii="ＭＳ ゴシック" w:hAnsi="ＭＳ ゴシック" w:cs="" w:eastAsia="ＭＳ ゴシック"/>
                <w:w w:val="90"/>
                <w:kern w:val="2"/>
                <w:sz w:val="18"/>
                <w:szCs w:val="26"/>
                <w:lang w:val="en-US" w:eastAsia="ja-JP" w:bidi="ar-SA"/>
              </w:rPr>
              <w:t>条四）洪水時を想定した防災教育及び訓練の実施に関する事項、（土砂災害防止法施行規則</w:t>
            </w:r>
            <w:r>
              <w:rPr>
                <w:rFonts w:eastAsia="ＭＳ ゴシック" w:cs="" w:ascii="ＭＳ ゴシック" w:hAnsi="ＭＳ ゴシック"/>
                <w:w w:val="90"/>
                <w:kern w:val="2"/>
                <w:sz w:val="18"/>
                <w:szCs w:val="26"/>
                <w:lang w:val="en-US" w:eastAsia="ja-JP" w:bidi="ar-SA"/>
              </w:rPr>
              <w:t>5</w:t>
            </w:r>
            <w:r>
              <w:rPr>
                <w:rFonts w:ascii="ＭＳ ゴシック" w:hAnsi="ＭＳ ゴシック" w:cs="" w:eastAsia="ＭＳ ゴシック"/>
                <w:w w:val="90"/>
                <w:kern w:val="2"/>
                <w:sz w:val="18"/>
                <w:szCs w:val="26"/>
                <w:lang w:val="en-US" w:eastAsia="ja-JP" w:bidi="ar-SA"/>
              </w:rPr>
              <w:t>条の</w:t>
            </w:r>
            <w:r>
              <w:rPr>
                <w:rFonts w:eastAsia="ＭＳ ゴシック" w:cs="" w:ascii="ＭＳ ゴシック" w:hAnsi="ＭＳ ゴシック"/>
                <w:w w:val="90"/>
                <w:kern w:val="2"/>
                <w:sz w:val="18"/>
                <w:szCs w:val="26"/>
                <w:lang w:val="en-US" w:eastAsia="ja-JP" w:bidi="ar-SA"/>
              </w:rPr>
              <w:t>2</w:t>
            </w:r>
            <w:r>
              <w:rPr>
                <w:rFonts w:ascii="ＭＳ ゴシック" w:hAnsi="ＭＳ ゴシック" w:cs="" w:eastAsia="ＭＳ ゴシック"/>
                <w:w w:val="90"/>
                <w:kern w:val="2"/>
                <w:sz w:val="18"/>
                <w:szCs w:val="26"/>
                <w:lang w:val="en-US" w:eastAsia="ja-JP" w:bidi="ar-SA"/>
              </w:rPr>
              <w:t>四）土砂災害が発生するおそれがある場合を想定した防災教育及び訓練の実施に関する事項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696"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tcPr>
          <w:p>
            <w:pPr>
              <w:pStyle w:val="ListParagraph"/>
              <w:widowControl w:val="false"/>
              <w:numPr>
                <w:ilvl w:val="0"/>
                <w:numId w:val="7"/>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適切な時期に必要な教育・訓練の実施が設定されているか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1015" w:hRule="atLeast"/>
        </w:trPr>
        <w:tc>
          <w:tcPr>
            <w:tcW w:w="856" w:type="dxa"/>
            <w:vMerge w:val="continue"/>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洪水予報、土砂災害に関する情報等の避難に必要な情報を収集及び共有するため、機器の操作や作業に係わる訓練（情報伝達訓練）、関連する教育が設定されているか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医療施設が浸水に至るまでの限られた時間内に、患者を避難場所まで安全に避難誘導するための訓練（避難誘導訓練）や、関連する教育の機会が設定されているか</w:t>
            </w:r>
          </w:p>
          <w:p>
            <w:pPr>
              <w:pStyle w:val="Normal"/>
              <w:widowControl w:val="false"/>
              <w:spacing w:lineRule="exact" w:line="300" w:before="0" w:after="0"/>
              <w:ind w:left="437" w:hanging="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（避難誘導訓練において、患者が全員参加するのでは無く、身体的な状況に応じて避難支援に必要な人数や避難時間等を確認する訓練実施するなどの工夫も必要）</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洪水や土砂災害の危険性が高まる出水期までに医療施設職員の対応力が高まるよう、出水期までに教育・訓練が設定されているか</w:t>
            </w:r>
          </w:p>
          <w:p>
            <w:pPr>
              <w:pStyle w:val="Normal"/>
              <w:widowControl w:val="false"/>
              <w:spacing w:lineRule="exact" w:line="300" w:before="0" w:after="0"/>
              <w:ind w:left="437" w:hanging="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（すべての訓練を一度に行うのではなく、患者や職員の負担を軽減するため、訓練を分けて行う工夫も必要）、</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新規に採用された職員等が災害対応できるよう、当該職員に対する教育・訓練の機会が設定されているか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医療施設関係者以外の協力者が参画した避難誘導が有効に行われるよう、必要な教育・訓練の機会が当該協力者向けに用意されているか</w:t>
            </w:r>
          </w:p>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275" w:type="dxa"/>
            <w:vMerge w:val="continue"/>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0" w:hRule="atLeast"/>
        </w:trPr>
        <w:tc>
          <w:tcPr>
            <w:tcW w:w="7073" w:type="dxa"/>
            <w:gridSpan w:val="2"/>
            <w:tcBorders>
              <w:top w:val="single" w:sz="8" w:space="0" w:color="000000"/>
              <w:left w:val="single" w:sz="12" w:space="0" w:color="000000"/>
              <w:bottom w:val="nil"/>
            </w:tcBorders>
          </w:tcPr>
          <w:p>
            <w:pPr>
              <w:pStyle w:val="ListParagraph"/>
              <w:widowControl w:val="false"/>
              <w:numPr>
                <w:ilvl w:val="0"/>
                <w:numId w:val="1"/>
              </w:numPr>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自衛水防組織（設置した場合のみ）</w:t>
            </w:r>
          </w:p>
          <w:p>
            <w:pPr>
              <w:pStyle w:val="Normal"/>
              <w:widowControl w:val="false"/>
              <w:spacing w:lineRule="exact" w:line="300" w:before="0" w:after="0"/>
              <w:rPr>
                <w:rFonts w:ascii="ＭＳ ゴシック" w:hAnsi="ＭＳ ゴシック" w:eastAsia="ＭＳ ゴシック"/>
                <w:sz w:val="24"/>
                <w:szCs w:val="26"/>
              </w:rPr>
            </w:pPr>
            <w:r>
              <w:rPr>
                <w:rFonts w:ascii="ＭＳ ゴシック" w:hAnsi="ＭＳ ゴシック" w:cs="" w:eastAsia="ＭＳ ゴシック"/>
                <w:kern w:val="2"/>
                <w:sz w:val="18"/>
                <w:szCs w:val="26"/>
                <w:lang w:val="en-US" w:eastAsia="ja-JP" w:bidi="ar-SA"/>
              </w:rPr>
              <w:t>（水防法施行規則</w:t>
            </w:r>
            <w:r>
              <w:rPr>
                <w:rFonts w:eastAsia="ＭＳ ゴシック" w:cs="" w:ascii="ＭＳ ゴシック" w:hAnsi="ＭＳ ゴシック"/>
                <w:kern w:val="2"/>
                <w:sz w:val="18"/>
                <w:szCs w:val="26"/>
                <w:lang w:val="en-US" w:eastAsia="ja-JP" w:bidi="ar-SA"/>
              </w:rPr>
              <w:t>16</w:t>
            </w:r>
            <w:r>
              <w:rPr>
                <w:rFonts w:ascii="ＭＳ ゴシック" w:hAnsi="ＭＳ ゴシック" w:cs="" w:eastAsia="ＭＳ ゴシック"/>
                <w:kern w:val="2"/>
                <w:sz w:val="18"/>
                <w:szCs w:val="26"/>
                <w:lang w:val="en-US" w:eastAsia="ja-JP" w:bidi="ar-SA"/>
              </w:rPr>
              <w:t>条五）自衛水防組織の業務に関する事項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967"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（自衛水防組織の業務内容の記載の確認）</w:t>
            </w:r>
          </w:p>
          <w:p>
            <w:pPr>
              <w:pStyle w:val="Normal"/>
              <w:widowControl w:val="false"/>
              <w:spacing w:lineRule="exact" w:line="300" w:before="0" w:after="0"/>
              <w:rPr>
                <w:rFonts w:ascii="ＭＳ Ｐ明朝" w:hAnsi="ＭＳ Ｐ明朝" w:eastAsia="ＭＳ Ｐ明朝"/>
                <w:sz w:val="22"/>
              </w:rPr>
            </w:pPr>
            <w:r>
              <w:rPr>
                <w:rFonts w:ascii="ＭＳ Ｐ明朝" w:hAnsi="ＭＳ Ｐ明朝" w:cs="" w:eastAsia="ＭＳ Ｐ明朝"/>
                <w:kern w:val="2"/>
                <w:sz w:val="22"/>
                <w:szCs w:val="22"/>
                <w:lang w:val="en-US" w:eastAsia="ja-JP" w:bidi="ar-SA"/>
              </w:rPr>
              <w:t>自衛水防組織が設置されている場合、その業務内容が規定され、計画に記載されているか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2233" w:hRule="atLeast"/>
        </w:trPr>
        <w:tc>
          <w:tcPr>
            <w:tcW w:w="856" w:type="dxa"/>
            <w:vMerge w:val="continue"/>
            <w:tcBorders>
              <w:left w:val="single" w:sz="12" w:space="0" w:color="000000"/>
              <w:bottom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bottom w:val="single" w:sz="12" w:space="0" w:color="000000"/>
            </w:tcBorders>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自衛水防組織を統括する統括管理官が記載されているか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少なくとも「洪水予報等の収集及び伝達」、「患者の避難誘導」がそれぞれ自衛水防組織の業務として規定されているか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内部組織（○○班など）を編成する場合、内部組織のそれぞれの業務内容・活動範囲が明確に区分され、内部組織毎に必要な要員と統括する者が記載されているか</w:t>
            </w:r>
          </w:p>
        </w:tc>
        <w:tc>
          <w:tcPr>
            <w:tcW w:w="1275" w:type="dxa"/>
            <w:vMerge w:val="continue"/>
            <w:tcBorders>
              <w:bottom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bottom w:val="single" w:sz="12"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bl>
    <w:p>
      <w:pPr>
        <w:pStyle w:val="Normal"/>
        <w:widowControl/>
        <w:jc w:val="left"/>
        <w:rPr>
          <w:rFonts w:ascii="ＭＳ ゴシック" w:hAnsi="ＭＳ ゴシック" w:eastAsia="ＭＳ ゴシック"/>
          <w:sz w:val="26"/>
          <w:szCs w:val="26"/>
        </w:rPr>
      </w:pPr>
      <w:r>
        <w:rPr/>
      </w:r>
    </w:p>
    <w:sectPr>
      <w:headerReference w:type="default" r:id="rId2"/>
      <w:footerReference w:type="default" r:id="rId3"/>
      <w:type w:val="nextPage"/>
      <w:pgSz w:w="11906" w:h="16838"/>
      <w:pgMar w:left="1077" w:right="1077" w:header="454" w:top="1247" w:footer="992" w:bottom="1247" w:gutter="0"/>
      <w:pgNumType w:start="1"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Calibri Light">
    <w:charset w:val="80"/>
    <w:family w:val="roman"/>
    <w:pitch w:val="variable"/>
  </w:font>
  <w:font w:name="Liberation Sans">
    <w:altName w:val="Arial"/>
    <w:charset w:val="80"/>
    <w:family w:val="swiss"/>
    <w:pitch w:val="variable"/>
  </w:font>
  <w:font w:name="ＭＳ ゴシック">
    <w:charset w:val="80"/>
    <w:family w:val="roman"/>
    <w:pitch w:val="variable"/>
  </w:font>
  <w:font w:name="ＭＳ Ｐゴシック">
    <w:charset w:val="80"/>
    <w:family w:val="roman"/>
    <w:pitch w:val="variable"/>
  </w:font>
  <w:font w:name="ＭＳ Ｐ明朝">
    <w:charset w:val="80"/>
    <w:family w:val="roman"/>
    <w:pitch w:val="variable"/>
  </w:font>
  <w:font w:name="ＭＳ Ｐ明朝">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0220044"/>
    </w:sdtPr>
    <w:sdtContent>
      <w:p>
        <w:pPr>
          <w:pStyle w:val="Style30"/>
          <w:jc w:val="center"/>
          <w:rPr/>
        </w:pPr>
        <w:r>
          <w:rPr/>
          <w:fldChar w:fldCharType="begin"/>
        </w:r>
        <w:r>
          <w:rPr/>
          <w:instrText> PAGE </w:instrText>
        </w:r>
        <w:r>
          <w:rPr/>
          <w:fldChar w:fldCharType="separate"/>
        </w:r>
        <w:r>
          <w:rPr/>
          <w:t>5</w:t>
        </w:r>
        <w:r>
          <w:rPr/>
          <w:fldChar w:fldCharType="end"/>
        </w:r>
      </w:p>
    </w:sdtContent>
  </w:sdt>
  <w:p>
    <w:pPr>
      <w:pStyle w:val="Style3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right"/>
      <w:rPr>
        <w:rFonts w:ascii="ＭＳ Ｐゴシック" w:hAnsi="ＭＳ Ｐゴシック" w:eastAsia="ＭＳ Ｐゴシック"/>
        <w:sz w:val="24"/>
        <w:szCs w:val="24"/>
        <w:bdr w:val="single" w:sz="4" w:space="0" w:color="000000"/>
      </w:rPr>
    </w:pPr>
    <w:r>
      <w:rPr>
        <w:rFonts w:eastAsia="ＭＳ Ｐゴシック" w:ascii="ＭＳ Ｐゴシック" w:hAnsi="ＭＳ Ｐゴシック"/>
        <w:sz w:val="24"/>
        <w:szCs w:val="24"/>
        <w:bdr w:val="single" w:sz="4" w:space="0" w:color="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aiueoFullWidth"/>
      <w:lvlText w:val="(%1)"/>
      <w:lvlJc w:val="left"/>
      <w:pPr>
        <w:tabs>
          <w:tab w:val="num" w:pos="0"/>
        </w:tabs>
        <w:ind w:left="480" w:hanging="48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lvl w:ilvl="0">
      <w:numFmt w:val="bullet"/>
      <w:lvlText w:val="□"/>
      <w:lvlJc w:val="left"/>
      <w:pPr>
        <w:tabs>
          <w:tab w:val="num" w:pos="0"/>
        </w:tabs>
        <w:ind w:left="360" w:hanging="360"/>
      </w:pPr>
      <w:rPr>
        <w:rFonts w:ascii="ＭＳ Ｐ明朝" w:hAnsi="ＭＳ Ｐ明朝" w:cs="ＭＳ Ｐ明朝" w:hint="default"/>
        <w:lang w:val="en-US"/>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numFmt w:val="bullet"/>
      <w:lvlText w:val="□"/>
      <w:lvlJc w:val="left"/>
      <w:pPr>
        <w:tabs>
          <w:tab w:val="num" w:pos="0"/>
        </w:tabs>
        <w:ind w:left="360" w:hanging="360"/>
      </w:pPr>
      <w:rPr>
        <w:rFonts w:ascii="ＭＳ Ｐ明朝" w:hAnsi="ＭＳ Ｐ明朝" w:cs="ＭＳ Ｐ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5">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6">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7">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Ｐゴシック"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1468"/>
    <w:pPr>
      <w:widowControl w:val="false"/>
      <w:bidi w:val="0"/>
      <w:spacing w:before="0" w:after="0"/>
      <w:jc w:val="both"/>
    </w:pPr>
    <w:rPr>
      <w:rFonts w:ascii="Calibri" w:hAnsi="Calibri" w:eastAsia="ＭＳ Ｐゴシック"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0"/>
    <w:uiPriority w:val="9"/>
    <w:qFormat/>
    <w:rsid w:val="00624f4e"/>
    <w:pPr>
      <w:keepNext w:val="true"/>
      <w:outlineLvl w:val="0"/>
    </w:pPr>
    <w:rPr>
      <w:rFonts w:ascii="Calibri Light" w:hAnsi="Calibri Light" w:eastAsia="ＭＳ Ｐゴシック"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9c2b2f"/>
    <w:rPr/>
  </w:style>
  <w:style w:type="character" w:styleId="Style14" w:customStyle="1">
    <w:name w:val="フッター (文字)"/>
    <w:basedOn w:val="DefaultParagraphFont"/>
    <w:link w:val="a5"/>
    <w:uiPriority w:val="99"/>
    <w:qFormat/>
    <w:rsid w:val="009c2b2f"/>
    <w:rPr/>
  </w:style>
  <w:style w:type="character" w:styleId="PlaceholderText">
    <w:name w:val="Placeholder Text"/>
    <w:basedOn w:val="DefaultParagraphFont"/>
    <w:uiPriority w:val="99"/>
    <w:semiHidden/>
    <w:qFormat/>
    <w:rsid w:val="009c2b2f"/>
    <w:rPr>
      <w:color w:val="808080"/>
    </w:rPr>
  </w:style>
  <w:style w:type="character" w:styleId="Style15" w:customStyle="1">
    <w:name w:val="吹き出し (文字)"/>
    <w:basedOn w:val="DefaultParagraphFont"/>
    <w:link w:val="aa"/>
    <w:uiPriority w:val="99"/>
    <w:semiHidden/>
    <w:qFormat/>
    <w:rsid w:val="00431336"/>
    <w:rPr>
      <w:rFonts w:ascii="Calibri Light" w:hAnsi="Calibri Light" w:eastAsia="ＭＳ Ｐゴシック" w:cs="" w:asciiTheme="majorHAnsi" w:cstheme="majorBidi" w:eastAsiaTheme="majorEastAsia" w:hAnsiTheme="majorHAnsi"/>
      <w:sz w:val="18"/>
      <w:szCs w:val="18"/>
    </w:rPr>
  </w:style>
  <w:style w:type="character" w:styleId="Style16" w:customStyle="1">
    <w:name w:val="文末脚注文字列 (文字)"/>
    <w:basedOn w:val="DefaultParagraphFont"/>
    <w:link w:val="ac"/>
    <w:uiPriority w:val="99"/>
    <w:semiHidden/>
    <w:qFormat/>
    <w:rsid w:val="00716186"/>
    <w:rPr/>
  </w:style>
  <w:style w:type="character" w:styleId="Style17">
    <w:name w:val="文末脚注参照記号"/>
    <w:rPr>
      <w:vertAlign w:val="superscript"/>
    </w:rPr>
  </w:style>
  <w:style w:type="character" w:styleId="EndnoteCharacters">
    <w:name w:val="Endnote Characters"/>
    <w:basedOn w:val="DefaultParagraphFont"/>
    <w:uiPriority w:val="99"/>
    <w:semiHidden/>
    <w:unhideWhenUsed/>
    <w:qFormat/>
    <w:rsid w:val="00716186"/>
    <w:rPr>
      <w:vertAlign w:val="superscript"/>
    </w:rPr>
  </w:style>
  <w:style w:type="character" w:styleId="Style18" w:customStyle="1">
    <w:name w:val="脚注文字列 (文字)"/>
    <w:basedOn w:val="DefaultParagraphFont"/>
    <w:link w:val="af"/>
    <w:uiPriority w:val="99"/>
    <w:semiHidden/>
    <w:qFormat/>
    <w:rsid w:val="00716186"/>
    <w:rPr/>
  </w:style>
  <w:style w:type="character" w:styleId="Style19">
    <w:name w:val="脚注参照番号"/>
    <w:rPr>
      <w:vertAlign w:val="superscript"/>
    </w:rPr>
  </w:style>
  <w:style w:type="character" w:styleId="FootnoteCharacters">
    <w:name w:val="Footnote Characters"/>
    <w:basedOn w:val="DefaultParagraphFont"/>
    <w:uiPriority w:val="99"/>
    <w:semiHidden/>
    <w:unhideWhenUsed/>
    <w:qFormat/>
    <w:rsid w:val="00716186"/>
    <w:rPr>
      <w:vertAlign w:val="superscript"/>
    </w:rPr>
  </w:style>
  <w:style w:type="character" w:styleId="Style20">
    <w:name w:val="インターネットリンク"/>
    <w:basedOn w:val="DefaultParagraphFont"/>
    <w:uiPriority w:val="99"/>
    <w:unhideWhenUsed/>
    <w:rsid w:val="008f6ed7"/>
    <w:rPr>
      <w:color w:val="2998E3" w:themeColor="hyperlink"/>
      <w:u w:val="single"/>
    </w:rPr>
  </w:style>
  <w:style w:type="character" w:styleId="11" w:customStyle="1">
    <w:name w:val="見出し 1 (文字)"/>
    <w:basedOn w:val="DefaultParagraphFont"/>
    <w:link w:val="1"/>
    <w:uiPriority w:val="9"/>
    <w:qFormat/>
    <w:rsid w:val="00624f4e"/>
    <w:rPr>
      <w:rFonts w:ascii="Calibri Light" w:hAnsi="Calibri Light" w:eastAsia="ＭＳ Ｐゴシック" w:cs="" w:asciiTheme="majorHAnsi" w:cstheme="majorBidi" w:eastAsiaTheme="majorEastAsia" w:hAnsiTheme="majorHAnsi"/>
      <w:sz w:val="24"/>
      <w:szCs w:val="24"/>
    </w:rPr>
  </w:style>
  <w:style w:type="character" w:styleId="Annotationreference">
    <w:name w:val="annotation reference"/>
    <w:basedOn w:val="DefaultParagraphFont"/>
    <w:uiPriority w:val="99"/>
    <w:semiHidden/>
    <w:unhideWhenUsed/>
    <w:qFormat/>
    <w:rsid w:val="003f3cc9"/>
    <w:rPr>
      <w:sz w:val="18"/>
      <w:szCs w:val="18"/>
    </w:rPr>
  </w:style>
  <w:style w:type="character" w:styleId="Style21" w:customStyle="1">
    <w:name w:val="コメント文字列 (文字)"/>
    <w:basedOn w:val="DefaultParagraphFont"/>
    <w:link w:val="af5"/>
    <w:uiPriority w:val="99"/>
    <w:semiHidden/>
    <w:qFormat/>
    <w:rsid w:val="003f3cc9"/>
    <w:rPr/>
  </w:style>
  <w:style w:type="character" w:styleId="Style22" w:customStyle="1">
    <w:name w:val="コメント内容 (文字)"/>
    <w:basedOn w:val="Style21"/>
    <w:link w:val="af7"/>
    <w:uiPriority w:val="99"/>
    <w:semiHidden/>
    <w:qFormat/>
    <w:rsid w:val="009f1ace"/>
    <w:rPr>
      <w:b/>
      <w:bCs/>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Style28">
    <w:name w:val="ヘッダーとフッター"/>
    <w:basedOn w:val="Normal"/>
    <w:qFormat/>
    <w:pPr/>
    <w:rPr/>
  </w:style>
  <w:style w:type="paragraph" w:styleId="Style29">
    <w:name w:val="Header"/>
    <w:basedOn w:val="Normal"/>
    <w:link w:val="a4"/>
    <w:uiPriority w:val="99"/>
    <w:unhideWhenUsed/>
    <w:rsid w:val="009c2b2f"/>
    <w:pPr>
      <w:tabs>
        <w:tab w:val="clear" w:pos="840"/>
        <w:tab w:val="center" w:pos="4252" w:leader="none"/>
        <w:tab w:val="right" w:pos="8504" w:leader="none"/>
      </w:tabs>
      <w:snapToGrid w:val="false"/>
    </w:pPr>
    <w:rPr/>
  </w:style>
  <w:style w:type="paragraph" w:styleId="Style30">
    <w:name w:val="Footer"/>
    <w:basedOn w:val="Normal"/>
    <w:link w:val="a6"/>
    <w:uiPriority w:val="99"/>
    <w:unhideWhenUsed/>
    <w:rsid w:val="009c2b2f"/>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fb28f4"/>
    <w:pPr>
      <w:ind w:left="840" w:hanging="0"/>
    </w:pPr>
    <w:rPr/>
  </w:style>
  <w:style w:type="paragraph" w:styleId="BalloonText">
    <w:name w:val="Balloon Text"/>
    <w:basedOn w:val="Normal"/>
    <w:link w:val="ab"/>
    <w:uiPriority w:val="99"/>
    <w:semiHidden/>
    <w:unhideWhenUsed/>
    <w:qFormat/>
    <w:rsid w:val="00431336"/>
    <w:pPr/>
    <w:rPr>
      <w:rFonts w:ascii="Calibri Light" w:hAnsi="Calibri Light" w:eastAsia="ＭＳ Ｐゴシック" w:cs="" w:asciiTheme="majorHAnsi" w:cstheme="majorBidi" w:eastAsiaTheme="majorEastAsia" w:hAnsiTheme="majorHAnsi"/>
      <w:sz w:val="18"/>
      <w:szCs w:val="18"/>
    </w:rPr>
  </w:style>
  <w:style w:type="paragraph" w:styleId="Style31">
    <w:name w:val="Endnote Text"/>
    <w:basedOn w:val="Normal"/>
    <w:link w:val="ad"/>
    <w:uiPriority w:val="99"/>
    <w:semiHidden/>
    <w:unhideWhenUsed/>
    <w:rsid w:val="00716186"/>
    <w:pPr>
      <w:snapToGrid w:val="false"/>
      <w:jc w:val="left"/>
    </w:pPr>
    <w:rPr/>
  </w:style>
  <w:style w:type="paragraph" w:styleId="Style32">
    <w:name w:val="Footnote Text"/>
    <w:basedOn w:val="Normal"/>
    <w:link w:val="af0"/>
    <w:uiPriority w:val="99"/>
    <w:semiHidden/>
    <w:unhideWhenUsed/>
    <w:rsid w:val="00716186"/>
    <w:pPr>
      <w:snapToGrid w:val="false"/>
      <w:jc w:val="left"/>
    </w:pPr>
    <w:rPr/>
  </w:style>
  <w:style w:type="paragraph" w:styleId="TOCHeading">
    <w:name w:val="TOC Heading"/>
    <w:basedOn w:val="1"/>
    <w:next w:val="Normal"/>
    <w:uiPriority w:val="39"/>
    <w:unhideWhenUsed/>
    <w:qFormat/>
    <w:rsid w:val="00624f4e"/>
    <w:pPr>
      <w:keepLines/>
      <w:widowControl/>
      <w:spacing w:lineRule="auto" w:line="259" w:before="240" w:after="0"/>
      <w:jc w:val="left"/>
    </w:pPr>
    <w:rPr>
      <w:color w:val="AA610D" w:themeColor="accent1" w:themeShade="bf"/>
      <w:kern w:val="0"/>
      <w:sz w:val="32"/>
      <w:szCs w:val="32"/>
    </w:rPr>
  </w:style>
  <w:style w:type="paragraph" w:styleId="2">
    <w:name w:val="TOC 2"/>
    <w:basedOn w:val="Normal"/>
    <w:next w:val="Normal"/>
    <w:autoRedefine/>
    <w:uiPriority w:val="39"/>
    <w:unhideWhenUsed/>
    <w:rsid w:val="00624f4e"/>
    <w:pPr>
      <w:widowControl/>
      <w:spacing w:lineRule="auto" w:line="259" w:before="0" w:after="100"/>
      <w:ind w:left="220" w:hanging="0"/>
      <w:jc w:val="left"/>
    </w:pPr>
    <w:rPr>
      <w:rFonts w:cs="Times New Roman"/>
      <w:kern w:val="0"/>
      <w:sz w:val="22"/>
    </w:rPr>
  </w:style>
  <w:style w:type="paragraph" w:styleId="12">
    <w:name w:val="TOC 1"/>
    <w:basedOn w:val="Normal"/>
    <w:next w:val="Normal"/>
    <w:autoRedefine/>
    <w:uiPriority w:val="39"/>
    <w:unhideWhenUsed/>
    <w:rsid w:val="00624f4e"/>
    <w:pPr>
      <w:widowControl/>
      <w:spacing w:lineRule="auto" w:line="259" w:before="0" w:after="100"/>
      <w:jc w:val="left"/>
    </w:pPr>
    <w:rPr>
      <w:rFonts w:cs="Times New Roman"/>
      <w:kern w:val="0"/>
      <w:sz w:val="22"/>
    </w:rPr>
  </w:style>
  <w:style w:type="paragraph" w:styleId="3">
    <w:name w:val="TOC 3"/>
    <w:basedOn w:val="Normal"/>
    <w:next w:val="Normal"/>
    <w:autoRedefine/>
    <w:uiPriority w:val="39"/>
    <w:unhideWhenUsed/>
    <w:rsid w:val="00624f4e"/>
    <w:pPr>
      <w:widowControl/>
      <w:spacing w:lineRule="auto" w:line="259" w:before="0" w:after="100"/>
      <w:ind w:left="440" w:hanging="0"/>
      <w:jc w:val="left"/>
    </w:pPr>
    <w:rPr>
      <w:rFonts w:cs="Times New Roman"/>
      <w:kern w:val="0"/>
      <w:sz w:val="22"/>
    </w:rPr>
  </w:style>
  <w:style w:type="paragraph" w:styleId="Annotationtext">
    <w:name w:val="annotation text"/>
    <w:basedOn w:val="Normal"/>
    <w:link w:val="af6"/>
    <w:uiPriority w:val="99"/>
    <w:semiHidden/>
    <w:unhideWhenUsed/>
    <w:qFormat/>
    <w:rsid w:val="003f3cc9"/>
    <w:pPr>
      <w:jc w:val="left"/>
    </w:pPr>
    <w:rPr/>
  </w:style>
  <w:style w:type="paragraph" w:styleId="Annotationsubject">
    <w:name w:val="annotation subject"/>
    <w:basedOn w:val="Annotationtext"/>
    <w:next w:val="Annotationtext"/>
    <w:link w:val="af8"/>
    <w:uiPriority w:val="99"/>
    <w:semiHidden/>
    <w:unhideWhenUsed/>
    <w:qFormat/>
    <w:rsid w:val="009f1ace"/>
    <w:pPr/>
    <w:rPr>
      <w:b/>
      <w:bCs/>
    </w:rPr>
  </w:style>
  <w:style w:type="paragraph" w:styleId="Style3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fb28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2DC7-C7E7-4642-BD86-3B0A3A2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Application>LibreOffice/7.0.6.2$Windows_X86_64 LibreOffice_project/144abb84a525d8e30c9dbbefa69cbbf2d8d4ae3b</Application>
  <AppVersion>15.0000</AppVersion>
  <Pages>5</Pages>
  <Words>3342</Words>
  <Characters>3358</Characters>
  <CharactersWithSpaces>3415</CharactersWithSpaces>
  <Paragraphs>143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2021-04-02T01:53:00Z</dcterms:created>
  <dc:creator>なし</dc:creator>
  <dc:description/>
  <dc:language>ja-JP</dc:language>
  <cp:lastModifiedBy>おおた</cp:lastModifiedBy>
  <cp:lastPrinted>2021-04-01T07:36:00Z</cp:lastPrinted>
  <dcterms:modified xsi:type="dcterms:W3CDTF">2021-07-16T07:06:00Z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file>